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</w:pP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Il sottoscritto …………………………………………………………..,dipendente-lavoratore dell’Istituto Comprensivo Campora-Aiello, prende nota e sottoscrive il presente </w:t>
      </w:r>
    </w:p>
    <w:p w:rsidR="00034D3C" w:rsidRP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b/>
          <w:bCs/>
          <w:color w:val="0C0C0F"/>
          <w:sz w:val="28"/>
          <w:szCs w:val="28"/>
          <w:bdr w:val="none" w:sz="0" w:space="0" w:color="auto" w:frame="1"/>
          <w:lang w:eastAsia="it-IT"/>
        </w:rPr>
      </w:pPr>
      <w:r w:rsidRPr="00034D3C">
        <w:rPr>
          <w:rFonts w:ascii="Tahoma" w:eastAsia="Times New Roman" w:hAnsi="Tahoma" w:cs="Tahoma"/>
          <w:b/>
          <w:bCs/>
          <w:color w:val="0C0C0F"/>
          <w:sz w:val="28"/>
          <w:szCs w:val="28"/>
          <w:bdr w:val="none" w:sz="0" w:space="0" w:color="auto" w:frame="1"/>
          <w:lang w:eastAsia="it-IT"/>
        </w:rPr>
        <w:t xml:space="preserve">“ Protocollo Condiviso”. </w:t>
      </w:r>
    </w:p>
    <w:p w:rsidR="00034D3C" w:rsidRP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b/>
          <w:bCs/>
          <w:color w:val="0C0C0F"/>
          <w:sz w:val="28"/>
          <w:szCs w:val="28"/>
          <w:bdr w:val="none" w:sz="0" w:space="0" w:color="auto" w:frame="1"/>
          <w:lang w:eastAsia="it-IT"/>
        </w:rPr>
      </w:pPr>
    </w:p>
    <w:p w:rsidR="00034D3C" w:rsidRP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In attuazione della misura di cui </w:t>
      </w:r>
      <w:proofErr w:type="spellStart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all</w:t>
      </w:r>
      <w:proofErr w:type="spellEnd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rtl/>
          <w:lang w:eastAsia="it-IT"/>
        </w:rPr>
        <w:t>’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articolo 1, comma 1, n. 9), del </w:t>
      </w:r>
      <w:hyperlink r:id="rId5" w:history="1">
        <w:r w:rsidRPr="00034D3C">
          <w:rPr>
            <w:rFonts w:ascii="inherit" w:eastAsia="Times New Roman" w:hAnsi="inherit" w:cs="Tahoma"/>
            <w:b/>
            <w:bCs/>
            <w:color w:val="1E5192"/>
            <w:sz w:val="26"/>
            <w:szCs w:val="26"/>
            <w:u w:val="single"/>
            <w:bdr w:val="none" w:sz="0" w:space="0" w:color="auto" w:frame="1"/>
            <w:lang w:eastAsia="it-IT"/>
          </w:rPr>
          <w:t>D.P.C.M. 11 marzo 2020</w:t>
        </w:r>
      </w:hyperlink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, che con riferimento alle attività professionali e produttive raccomanda intese tra le organizzazioni datoriali e sindacali, il 14 Marzo 2020 è stato sottoscritto il </w:t>
      </w:r>
      <w:r w:rsidRPr="00034D3C">
        <w:rPr>
          <w:rFonts w:ascii="inherit" w:eastAsia="Times New Roman" w:hAnsi="inherit" w:cs="Tahoma"/>
          <w:i/>
          <w:iCs/>
          <w:color w:val="0C0C0F"/>
          <w:sz w:val="26"/>
          <w:szCs w:val="26"/>
          <w:bdr w:val="none" w:sz="0" w:space="0" w:color="auto" w:frame="1"/>
          <w:rtl/>
          <w:lang w:eastAsia="it-IT"/>
        </w:rPr>
        <w:t>“</w:t>
      </w:r>
      <w:r w:rsidRPr="00034D3C">
        <w:rPr>
          <w:rFonts w:ascii="inherit" w:eastAsia="Times New Roman" w:hAnsi="inherit" w:cs="Tahoma"/>
          <w:i/>
          <w:iCs/>
          <w:color w:val="0C0C0F"/>
          <w:sz w:val="26"/>
          <w:szCs w:val="26"/>
          <w:bdr w:val="none" w:sz="0" w:space="0" w:color="auto" w:frame="1"/>
          <w:lang w:eastAsia="it-IT"/>
        </w:rPr>
        <w:t>Protocollo condiviso di regolamentazione delle misure per il contrasto e il contenimento della diffusione del virus COVID-19 negli ambienti di lavoro”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 aggiornato e integrato in data  - 24 aprile 2020 - (di seguito “Protocollo condiviso”) alla luce degli ultimi provvedimenti del Governo.</w:t>
      </w:r>
    </w:p>
    <w:p w:rsidR="00034D3C" w:rsidRP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Perseguendo l’obiettivo di conciliare la prosecuzione delle attività  con necessarie e adeguate garanzie di sicurezza e salubrità vuoi degli ambienti di lavoro, vuoi delle modalità lavorative, il Protocollo condiviso detta Linee guida operative - dunque regole di condotta e procedure - finalizzate ad incrementare l’efficacia delle misure precauzionali adottate per contrastare l’epidemia da  Covid-19.</w:t>
      </w:r>
    </w:p>
    <w:p w:rsid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Unitamente agli accorgimenti inerenti allo svolgimento </w:t>
      </w:r>
      <w:proofErr w:type="spellStart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dell</w:t>
      </w:r>
      <w:proofErr w:type="spellEnd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rtl/>
          <w:lang w:eastAsia="it-IT"/>
        </w:rPr>
        <w:t>’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attività lavorativa - quali il distanziamento sociale e l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rtl/>
          <w:lang w:eastAsia="it-IT"/>
        </w:rPr>
        <w:t>’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utilizzo dei dispositivi di protezione personale -, agli ambienti di lavoro e </w:t>
      </w:r>
      <w:proofErr w:type="spellStart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all</w:t>
      </w:r>
      <w:proofErr w:type="spellEnd"/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rtl/>
          <w:lang w:eastAsia="it-IT"/>
        </w:rPr>
        <w:t>’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organizzazione dello stesso, nel novero delle misure indicate nel Protocollo condiviso spiccano - al Punto 2 - le misure inerenti alle modalità di accesso al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luogo di lavoro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stess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o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. In particolare, la procedura operativa prevede le seguenti regole</w:t>
      </w:r>
      <w:r w:rsidRPr="00034D3C">
        <w:rPr>
          <w:rFonts w:ascii="inherit" w:eastAsia="Times New Roman" w:hAnsi="inherit" w:cs="Tahoma"/>
          <w:color w:val="0C0C0F"/>
          <w:sz w:val="14"/>
          <w:szCs w:val="14"/>
          <w:bdr w:val="none" w:sz="0" w:space="0" w:color="auto" w:frame="1"/>
          <w:lang w:eastAsia="it-IT"/>
        </w:rPr>
        <w:t>[1]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:</w:t>
      </w:r>
    </w:p>
    <w:p w:rsidR="00034D3C" w:rsidRPr="00034D3C" w:rsidRDefault="00034D3C" w:rsidP="00034D3C">
      <w:pPr>
        <w:shd w:val="clear" w:color="auto" w:fill="FFFFFF"/>
        <w:spacing w:after="0" w:line="421" w:lineRule="atLeast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</w:p>
    <w:p w:rsidR="00034D3C" w:rsidRPr="00034D3C" w:rsidRDefault="00034D3C" w:rsidP="00034D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Il dipendente-lavoratore provvede al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controllo della temperatura corporea 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prima 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dell’accesso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ai luoghi di lavoro;</w:t>
      </w:r>
    </w:p>
    <w:p w:rsidR="00034D3C" w:rsidRPr="00034D3C" w:rsidRDefault="00034D3C" w:rsidP="00034D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Stringente divieto di accesso qualora la temperatura corporea risulti superiore ai 37,5°;</w:t>
      </w:r>
    </w:p>
    <w:p w:rsidR="00034D3C" w:rsidRPr="00034D3C" w:rsidRDefault="00034D3C" w:rsidP="00034D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Isolamento momentaneo  del soggetto in esame</w:t>
      </w:r>
      <w:r w:rsidR="00A847C6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in caso di sintomi febbrili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al quale deve essere fornita una mascherina (laddove non ne sia già in possesso). Il soggetto </w:t>
      </w:r>
      <w:r w:rsidR="00A847C6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co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ntatt</w:t>
      </w:r>
      <w:r w:rsidR="00A847C6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erà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tempestivamente il proprio medico curante e seguire le indicazioni dallo stesso fornite;</w:t>
      </w:r>
    </w:p>
    <w:p w:rsidR="00034D3C" w:rsidRPr="00034D3C" w:rsidRDefault="00A847C6" w:rsidP="00034D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Il dipendente-lavoratore prende atto dell’i</w:t>
      </w:r>
      <w:r w:rsidR="00034D3C"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nforma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tiva </w:t>
      </w:r>
      <w:r w:rsidR="00034D3C"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preventiva da parte del datore</w:t>
      </w: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di lavoro</w:t>
      </w:r>
      <w:r w:rsidR="00034D3C"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al personale e a chiunque intenda accedere</w:t>
      </w:r>
      <w:r w:rsidR="00E81C88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negli ambienti scolastici</w:t>
      </w:r>
      <w:r w:rsidR="00034D3C"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 xml:space="preserve"> della preclusione dell’accesso a chi abbia avuto contatti, nei 14 giorni precedenti, con soggetti risultati positivi al Covid-19 o a chi provenga da zone a rischio contagio ai sensi delle indicazioni dell’OMS;</w:t>
      </w:r>
    </w:p>
    <w:p w:rsidR="00034D3C" w:rsidRPr="00E81C88" w:rsidRDefault="00034D3C" w:rsidP="00034D3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lastRenderedPageBreak/>
        <w:t>Nel caso di ingresso  di lavoratori già precedentemente risultati positivi al Covid-19 è necessaria una preventiva comunicazione avente ad oggetto la certificazione medica, rilasciata dal dipartimento di prevenzione territoriale di competenza, che attesti la 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rtl/>
          <w:lang w:eastAsia="it-IT"/>
        </w:rPr>
        <w:t>“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avvenuta negativizzazione” del tampone secondo le modalità previste(</w:t>
      </w:r>
      <w:r w:rsidRPr="00034D3C">
        <w:rPr>
          <w:rFonts w:ascii="inherit" w:eastAsia="Times New Roman" w:hAnsi="inherit" w:cs="Tahoma"/>
          <w:color w:val="0C0C0F"/>
          <w:sz w:val="14"/>
          <w:szCs w:val="14"/>
          <w:bdr w:val="none" w:sz="0" w:space="0" w:color="auto" w:frame="1"/>
          <w:lang w:eastAsia="it-IT"/>
        </w:rPr>
        <w:t>[2]</w:t>
      </w:r>
      <w:r w:rsidRPr="00034D3C"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).</w:t>
      </w:r>
    </w:p>
    <w:p w:rsidR="00E81C88" w:rsidRDefault="00E81C88" w:rsidP="00E81C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</w:pPr>
    </w:p>
    <w:p w:rsidR="00E81C88" w:rsidRPr="00034D3C" w:rsidRDefault="00E81C88" w:rsidP="00E81C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C0C0F"/>
          <w:sz w:val="26"/>
          <w:szCs w:val="26"/>
          <w:lang w:eastAsia="it-IT"/>
        </w:rPr>
      </w:pPr>
      <w:r>
        <w:rPr>
          <w:rFonts w:ascii="Tahoma" w:eastAsia="Times New Roman" w:hAnsi="Tahoma" w:cs="Tahoma"/>
          <w:color w:val="0C0C0F"/>
          <w:sz w:val="26"/>
          <w:szCs w:val="26"/>
          <w:bdr w:val="none" w:sz="0" w:space="0" w:color="auto" w:frame="1"/>
          <w:lang w:eastAsia="it-IT"/>
        </w:rPr>
        <w:t>Campora San Giovanni li,……………………………..</w:t>
      </w:r>
    </w:p>
    <w:p w:rsidR="00945FFD" w:rsidRDefault="00945FFD"/>
    <w:p w:rsidR="00E81C88" w:rsidRPr="00E81C88" w:rsidRDefault="00E81C88">
      <w:pPr>
        <w:rPr>
          <w:sz w:val="24"/>
          <w:szCs w:val="24"/>
        </w:rPr>
      </w:pPr>
      <w:r w:rsidRPr="00E81C88">
        <w:rPr>
          <w:sz w:val="24"/>
          <w:szCs w:val="24"/>
        </w:rPr>
        <w:t xml:space="preserve">                                                                                                                               Firma</w:t>
      </w:r>
    </w:p>
    <w:p w:rsidR="00E81C88" w:rsidRDefault="00E81C88"/>
    <w:p w:rsidR="00E81C88" w:rsidRDefault="00E81C88">
      <w:r>
        <w:t xml:space="preserve">                                                                                                       ………………………………………………………………</w:t>
      </w:r>
    </w:p>
    <w:sectPr w:rsidR="00E81C88" w:rsidSect="003A6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6F14"/>
    <w:multiLevelType w:val="multilevel"/>
    <w:tmpl w:val="388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4D3C"/>
    <w:rsid w:val="00034D3C"/>
    <w:rsid w:val="00373941"/>
    <w:rsid w:val="003A678A"/>
    <w:rsid w:val="00945FFD"/>
    <w:rsid w:val="00A847C6"/>
    <w:rsid w:val="00E8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alex.com/documents/news/2020/03/12/coronavirus-italia-si-fe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UFFICIO3</cp:lastModifiedBy>
  <cp:revision>2</cp:revision>
  <dcterms:created xsi:type="dcterms:W3CDTF">2020-05-16T21:25:00Z</dcterms:created>
  <dcterms:modified xsi:type="dcterms:W3CDTF">2020-05-16T21:25:00Z</dcterms:modified>
</cp:coreProperties>
</file>